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51" w:rsidRPr="00B33F51" w:rsidRDefault="00624192" w:rsidP="001B02D9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2E216C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632AEA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_____________</w:t>
      </w:r>
      <w:r w:rsidR="007B3EDC" w:rsidRPr="00D16ADB">
        <w:rPr>
          <w:i/>
          <w:iCs/>
          <w:color w:val="000000"/>
        </w:rPr>
        <w:t>(наименование муниципального образования</w:t>
      </w:r>
      <w:r w:rsidR="007B3EDC" w:rsidRPr="007B3EDC">
        <w:rPr>
          <w:i/>
          <w:iCs/>
          <w:color w:val="000000"/>
        </w:rPr>
        <w:t>)</w:t>
      </w:r>
      <w:r w:rsidRPr="007B3EDC">
        <w:rPr>
          <w:color w:val="000000" w:themeColor="text1"/>
          <w:sz w:val="28"/>
          <w:szCs w:val="28"/>
          <w:vertAlign w:val="superscript"/>
        </w:rPr>
        <w:footnoteReference w:id="1"/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632AEA">
        <w:rPr>
          <w:color w:val="000000" w:themeColor="text1"/>
          <w:sz w:val="28"/>
          <w:szCs w:val="28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="00632A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32AEA">
        <w:rPr>
          <w:color w:val="000000" w:themeColor="text1"/>
          <w:sz w:val="28"/>
          <w:szCs w:val="28"/>
        </w:rPr>
        <w:t>А</w:t>
      </w:r>
      <w:r w:rsidR="002E216C" w:rsidRPr="00624192">
        <w:rPr>
          <w:color w:val="000000" w:themeColor="text1"/>
          <w:sz w:val="28"/>
          <w:szCs w:val="28"/>
        </w:rPr>
        <w:t>дминистрация</w:t>
      </w:r>
      <w:r w:rsidR="002E216C" w:rsidRPr="00914EA6">
        <w:rPr>
          <w:rStyle w:val="a6"/>
          <w:color w:val="000000" w:themeColor="text1"/>
          <w:sz w:val="28"/>
          <w:szCs w:val="28"/>
        </w:rPr>
        <w:footnoteReference w:id="2"/>
      </w:r>
      <w:r w:rsidR="002E216C" w:rsidRPr="00624192">
        <w:rPr>
          <w:color w:val="000000" w:themeColor="text1"/>
          <w:sz w:val="28"/>
          <w:szCs w:val="28"/>
        </w:rPr>
        <w:t xml:space="preserve"> __________</w:t>
      </w:r>
      <w:r w:rsidRPr="007B3EDC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632AEA">
        <w:rPr>
          <w:color w:val="000000" w:themeColor="text1"/>
          <w:sz w:val="28"/>
          <w:szCs w:val="28"/>
        </w:rPr>
        <w:t xml:space="preserve"> </w:t>
      </w:r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_____________</w:t>
      </w:r>
      <w:r w:rsidR="007B3EDC" w:rsidRPr="00D16ADB">
        <w:rPr>
          <w:i/>
          <w:iCs/>
          <w:color w:val="000000"/>
        </w:rPr>
        <w:t>(наименование муниципального образования</w:t>
      </w:r>
      <w:r w:rsidR="007B3EDC" w:rsidRPr="007B3EDC">
        <w:rPr>
          <w:i/>
          <w:iCs/>
          <w:color w:val="000000"/>
        </w:rPr>
        <w:t>)</w:t>
      </w:r>
      <w:r w:rsidR="004E39BC" w:rsidRPr="004E39BC">
        <w:rPr>
          <w:color w:val="000000"/>
          <w:sz w:val="28"/>
          <w:szCs w:val="28"/>
        </w:rPr>
        <w:t>,</w:t>
      </w:r>
      <w:r w:rsidR="00632AEA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3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E623F5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632AEA">
        <w:rPr>
          <w:color w:val="000000" w:themeColor="text1"/>
          <w:sz w:val="28"/>
          <w:szCs w:val="28"/>
        </w:rPr>
        <w:t>ановления на официальном сайте А</w:t>
      </w:r>
      <w:r w:rsidR="00E623F5" w:rsidRPr="008C33A2">
        <w:rPr>
          <w:color w:val="000000" w:themeColor="text1"/>
          <w:sz w:val="28"/>
          <w:szCs w:val="28"/>
        </w:rPr>
        <w:t>дминистрации</w:t>
      </w:r>
      <w:r w:rsidR="00E623F5" w:rsidRPr="00914EA6">
        <w:rPr>
          <w:rStyle w:val="a6"/>
          <w:color w:val="000000" w:themeColor="text1"/>
          <w:sz w:val="28"/>
          <w:szCs w:val="28"/>
        </w:rPr>
        <w:footnoteReference w:id="4"/>
      </w:r>
      <w:r w:rsidR="00E623F5" w:rsidRPr="00914EA6">
        <w:rPr>
          <w:color w:val="000000" w:themeColor="text1"/>
          <w:sz w:val="28"/>
          <w:szCs w:val="28"/>
        </w:rPr>
        <w:t xml:space="preserve"> _______________ </w:t>
      </w:r>
      <w:r w:rsidR="00E623F5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E623F5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E623F5" w:rsidRPr="00914EA6">
        <w:rPr>
          <w:rStyle w:val="a6"/>
          <w:color w:val="000000"/>
          <w:sz w:val="28"/>
          <w:szCs w:val="28"/>
        </w:rPr>
        <w:footnoteReference w:id="5"/>
      </w:r>
      <w:r w:rsidR="00E623F5">
        <w:rPr>
          <w:color w:val="000000" w:themeColor="text1"/>
          <w:sz w:val="28"/>
          <w:szCs w:val="28"/>
        </w:rPr>
        <w:t xml:space="preserve"> и</w:t>
      </w:r>
      <w:r w:rsidR="00632AEA">
        <w:rPr>
          <w:color w:val="000000" w:themeColor="text1"/>
          <w:sz w:val="28"/>
          <w:szCs w:val="28"/>
        </w:rPr>
        <w:t xml:space="preserve"> </w:t>
      </w:r>
      <w:r w:rsidR="00E623F5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E623F5">
        <w:rPr>
          <w:color w:val="000000" w:themeColor="text1"/>
          <w:sz w:val="28"/>
          <w:szCs w:val="28"/>
          <w:shd w:val="clear" w:color="auto" w:fill="FFFFFF"/>
        </w:rPr>
        <w:t>е</w:t>
      </w:r>
      <w:r w:rsidR="00632A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23F5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E623F5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DB436C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DB436C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E623F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_____________</w:t>
      </w:r>
      <w:r w:rsidR="00DB436C" w:rsidRPr="00D16ADB">
        <w:rPr>
          <w:i/>
          <w:iCs/>
          <w:color w:val="000000"/>
        </w:rPr>
        <w:t>(наименование муниципального образования</w:t>
      </w:r>
      <w:r w:rsidR="00DB436C" w:rsidRPr="007B3EDC">
        <w:rPr>
          <w:i/>
          <w:iCs/>
          <w:color w:val="000000"/>
        </w:rPr>
        <w:t>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361015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36101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Ind w:w="108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35176B">
        <w:trPr>
          <w:trHeight w:val="2870"/>
        </w:trPr>
        <w:tc>
          <w:tcPr>
            <w:tcW w:w="62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2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35176B">
        <w:tc>
          <w:tcPr>
            <w:tcW w:w="62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74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4F1A1C" w:rsidTr="0035176B">
        <w:tc>
          <w:tcPr>
            <w:tcW w:w="620" w:type="dxa"/>
          </w:tcPr>
          <w:p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</w:t>
            </w:r>
            <w:r w:rsidRPr="001D3B00">
              <w:rPr>
                <w:color w:val="000000"/>
              </w:rPr>
              <w:lastRenderedPageBreak/>
              <w:t>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Подпункт 2 пункта 1 статьи 60,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336911">
              <w:rPr>
                <w:color w:val="000000" w:themeColor="text1"/>
              </w:rPr>
              <w:lastRenderedPageBreak/>
              <w:t>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F790A" w:rsidRPr="004F1A1C" w:rsidTr="0035176B">
        <w:tc>
          <w:tcPr>
            <w:tcW w:w="620" w:type="dxa"/>
          </w:tcPr>
          <w:p w:rsidR="0049523D" w:rsidRDefault="0049523D" w:rsidP="00F23A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622" w:type="dxa"/>
          </w:tcPr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 xml:space="preserve">уется </w:t>
            </w:r>
            <w:proofErr w:type="spellStart"/>
            <w:r>
              <w:rPr>
                <w:color w:val="000000"/>
              </w:rPr>
              <w:t>ли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proofErr w:type="spellEnd"/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которую</w:t>
            </w:r>
            <w:proofErr w:type="gramEnd"/>
            <w:r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:rsidR="0049523D" w:rsidRPr="007B3EDC" w:rsidRDefault="0049523D" w:rsidP="00FD5534"/>
        </w:tc>
        <w:tc>
          <w:tcPr>
            <w:tcW w:w="1701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:rsidR="0049523D" w:rsidRPr="007B3EDC" w:rsidRDefault="0049523D" w:rsidP="00F23A48">
            <w:pPr>
              <w:jc w:val="center"/>
            </w:pPr>
          </w:p>
        </w:tc>
      </w:tr>
      <w:tr w:rsidR="00431D58" w:rsidRPr="004F1A1C" w:rsidTr="0035176B">
        <w:tc>
          <w:tcPr>
            <w:tcW w:w="620" w:type="dxa"/>
          </w:tcPr>
          <w:p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431D58" w:rsidRDefault="003C5FFC" w:rsidP="00431D58"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35176B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bookmarkStart w:id="5" w:name="_GoBack" w:colFirst="1" w:colLast="1"/>
            <w:r>
              <w:t>4</w:t>
            </w:r>
          </w:p>
        </w:tc>
        <w:tc>
          <w:tcPr>
            <w:tcW w:w="2622" w:type="dxa"/>
          </w:tcPr>
          <w:p w:rsidR="007C67EA" w:rsidRPr="00544011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Исполнены ли 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обязанности по приведению земли</w:t>
            </w:r>
            <w:r w:rsidR="00BE3953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7C67EA" w:rsidRPr="00544011" w:rsidRDefault="007C67EA" w:rsidP="007C67EA">
            <w:pPr>
              <w:jc w:val="both"/>
              <w:rPr>
                <w:color w:val="000000" w:themeColor="text1"/>
              </w:rPr>
            </w:pPr>
            <w:r w:rsidRPr="00544011">
              <w:rPr>
                <w:color w:val="000000" w:themeColor="text1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544011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пригодное для использования по целевому назначению? </w:t>
            </w:r>
          </w:p>
          <w:p w:rsidR="004F1A1C" w:rsidRPr="00544011" w:rsidRDefault="004F1A1C" w:rsidP="007C67E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Пункт 5 статьи 13, </w:t>
            </w:r>
            <w:r>
              <w:rPr>
                <w:color w:val="000000" w:themeColor="text1"/>
              </w:rPr>
              <w:lastRenderedPageBreak/>
              <w:t>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35176B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22" w:type="dxa"/>
          </w:tcPr>
          <w:p w:rsidR="007C67EA" w:rsidRPr="00544011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35176B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 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:rsidR="004F1A1C" w:rsidRPr="00544011" w:rsidRDefault="004F1A1C" w:rsidP="009A2349">
            <w:pPr>
              <w:jc w:val="both"/>
            </w:pPr>
          </w:p>
        </w:tc>
        <w:tc>
          <w:tcPr>
            <w:tcW w:w="2177" w:type="dxa"/>
          </w:tcPr>
          <w:p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bookmarkEnd w:id="5"/>
    </w:tbl>
    <w:p w:rsidR="00141D8D" w:rsidRDefault="00141D8D"/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6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</w:tbl>
    <w:bookmarkEnd w:id="6"/>
    <w:p w:rsidR="008E0FA3" w:rsidRPr="00B50A4A" w:rsidRDefault="008E0FA3" w:rsidP="008E0F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8E0FA3" w:rsidRDefault="008E0FA3" w:rsidP="008E0FA3">
      <w:pPr>
        <w:jc w:val="center"/>
        <w:rPr>
          <w:sz w:val="28"/>
          <w:szCs w:val="28"/>
        </w:rPr>
      </w:pPr>
    </w:p>
    <w:p w:rsidR="008E0FA3" w:rsidRDefault="008E0FA3" w:rsidP="008E0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8E0FA3" w:rsidRDefault="008E0FA3" w:rsidP="008E0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35176B" w:rsidRPr="00361015" w:rsidRDefault="008E0FA3" w:rsidP="008E0F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</w:t>
      </w:r>
    </w:p>
    <w:p w:rsidR="008E0FA3" w:rsidRPr="0035176B" w:rsidRDefault="008E0FA3" w:rsidP="008E0FA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35176B">
        <w:rPr>
          <w:color w:val="000000" w:themeColor="text1"/>
          <w:sz w:val="28"/>
          <w:szCs w:val="28"/>
          <w:u w:val="single"/>
        </w:rPr>
        <w:t xml:space="preserve">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4B01CA" w:rsidRDefault="004B01CA"/>
    <w:sectPr w:rsidR="004B01CA" w:rsidSect="00632AEA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DE" w:rsidRDefault="00BB73DE" w:rsidP="00624192">
      <w:r>
        <w:separator/>
      </w:r>
    </w:p>
  </w:endnote>
  <w:endnote w:type="continuationSeparator" w:id="0">
    <w:p w:rsidR="00BB73DE" w:rsidRDefault="00BB73D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DE" w:rsidRDefault="00BB73DE" w:rsidP="00624192">
      <w:r>
        <w:separator/>
      </w:r>
    </w:p>
  </w:footnote>
  <w:footnote w:type="continuationSeparator" w:id="0">
    <w:p w:rsidR="00BB73DE" w:rsidRDefault="00BB73DE" w:rsidP="00624192">
      <w:r>
        <w:continuationSeparator/>
      </w:r>
    </w:p>
  </w:footnote>
  <w:footnote w:id="1">
    <w:p w:rsidR="00624192" w:rsidRPr="007B3EDC" w:rsidRDefault="00624192" w:rsidP="00624192">
      <w:pPr>
        <w:pStyle w:val="a4"/>
        <w:jc w:val="both"/>
        <w:rPr>
          <w:sz w:val="24"/>
          <w:szCs w:val="24"/>
        </w:rPr>
      </w:pPr>
      <w:r w:rsidRPr="007B3EDC">
        <w:rPr>
          <w:rStyle w:val="a6"/>
          <w:sz w:val="24"/>
          <w:szCs w:val="24"/>
        </w:rPr>
        <w:footnoteRef/>
      </w:r>
      <w:r w:rsidRPr="007B3EDC">
        <w:rPr>
          <w:sz w:val="24"/>
          <w:szCs w:val="24"/>
        </w:rPr>
        <w:t xml:space="preserve"> Обращаем внимание, что если между администраци</w:t>
      </w:r>
      <w:r w:rsidR="007B3EDC" w:rsidRPr="007B3EDC">
        <w:rPr>
          <w:sz w:val="24"/>
          <w:szCs w:val="24"/>
        </w:rPr>
        <w:t>ями</w:t>
      </w:r>
      <w:r w:rsidRPr="007B3EDC">
        <w:rPr>
          <w:sz w:val="24"/>
          <w:szCs w:val="24"/>
        </w:rPr>
        <w:t xml:space="preserve"> поселения и муниципального района заключен</w:t>
      </w:r>
      <w:r w:rsidR="007B3EDC" w:rsidRPr="007B3EDC">
        <w:rPr>
          <w:sz w:val="24"/>
          <w:szCs w:val="24"/>
        </w:rPr>
        <w:t>о</w:t>
      </w:r>
      <w:r w:rsidRPr="007B3EDC">
        <w:rPr>
          <w:sz w:val="24"/>
          <w:szCs w:val="24"/>
        </w:rPr>
        <w:t xml:space="preserve"> соглашени</w:t>
      </w:r>
      <w:r w:rsidR="007B3EDC" w:rsidRPr="007B3EDC">
        <w:rPr>
          <w:sz w:val="24"/>
          <w:szCs w:val="24"/>
        </w:rPr>
        <w:t>е</w:t>
      </w:r>
      <w:r w:rsidR="00361015">
        <w:rPr>
          <w:sz w:val="24"/>
          <w:szCs w:val="24"/>
        </w:rPr>
        <w:t xml:space="preserve"> о передаче </w:t>
      </w:r>
      <w:proofErr w:type="gramStart"/>
      <w:r w:rsidR="00361015">
        <w:rPr>
          <w:sz w:val="24"/>
          <w:szCs w:val="24"/>
        </w:rPr>
        <w:t>А</w:t>
      </w:r>
      <w:r w:rsidRPr="007B3EDC">
        <w:rPr>
          <w:sz w:val="24"/>
          <w:szCs w:val="24"/>
        </w:rPr>
        <w:t>дминистрации муниципального района полномочий администрации поселения</w:t>
      </w:r>
      <w:proofErr w:type="gramEnd"/>
      <w:r w:rsidRPr="007B3EDC">
        <w:rPr>
          <w:sz w:val="24"/>
          <w:szCs w:val="24"/>
        </w:rPr>
        <w:t xml:space="preserve"> по осуществлению </w:t>
      </w:r>
      <w:r w:rsidR="00D47C14" w:rsidRPr="007B3EDC">
        <w:rPr>
          <w:sz w:val="24"/>
          <w:szCs w:val="24"/>
        </w:rPr>
        <w:t xml:space="preserve">данного </w:t>
      </w:r>
      <w:r w:rsidRPr="007B3EDC">
        <w:rPr>
          <w:sz w:val="24"/>
          <w:szCs w:val="24"/>
        </w:rPr>
        <w:t xml:space="preserve">вида муниципального контроля, то </w:t>
      </w:r>
      <w:r w:rsidR="00D47C14" w:rsidRPr="007B3EDC">
        <w:rPr>
          <w:sz w:val="24"/>
          <w:szCs w:val="24"/>
        </w:rPr>
        <w:t>данное постановление об утверждении формы проверочного листа принимает</w:t>
      </w:r>
      <w:r w:rsidRPr="007B3EDC">
        <w:rPr>
          <w:sz w:val="24"/>
          <w:szCs w:val="24"/>
        </w:rPr>
        <w:t xml:space="preserve"> администрация муниципального района.</w:t>
      </w:r>
    </w:p>
  </w:footnote>
  <w:footnote w:id="2">
    <w:p w:rsidR="002E216C" w:rsidRPr="001F4B13" w:rsidRDefault="002E216C" w:rsidP="002E216C">
      <w:pPr>
        <w:pStyle w:val="a4"/>
        <w:jc w:val="both"/>
        <w:rPr>
          <w:sz w:val="24"/>
          <w:szCs w:val="24"/>
        </w:rPr>
      </w:pPr>
      <w:r w:rsidRPr="001F4B13">
        <w:rPr>
          <w:rStyle w:val="a6"/>
          <w:sz w:val="24"/>
          <w:szCs w:val="24"/>
        </w:rPr>
        <w:footnoteRef/>
      </w:r>
      <w:r w:rsidRPr="001F4B13">
        <w:rPr>
          <w:sz w:val="24"/>
          <w:szCs w:val="24"/>
        </w:rPr>
        <w:t xml:space="preserve"> Соответствующий правовой акт принимается местной администрацией в том случае, если она является контрольным органом, осуществляющим муниципальный контроль. </w:t>
      </w:r>
    </w:p>
    <w:p w:rsidR="002E216C" w:rsidRPr="001F4B13" w:rsidRDefault="002E216C" w:rsidP="002E216C">
      <w:pPr>
        <w:pStyle w:val="a4"/>
        <w:jc w:val="both"/>
        <w:rPr>
          <w:sz w:val="24"/>
          <w:szCs w:val="24"/>
        </w:rPr>
      </w:pPr>
      <w:r w:rsidRPr="001F4B13">
        <w:rPr>
          <w:sz w:val="24"/>
          <w:szCs w:val="24"/>
        </w:rPr>
        <w:t>Если в муниципальном образовании в соответствии с его уставом создан другой орган местного самоуправления (например, комитет по</w:t>
      </w:r>
      <w:r>
        <w:rPr>
          <w:sz w:val="24"/>
          <w:szCs w:val="24"/>
        </w:rPr>
        <w:t xml:space="preserve"> управлению имуществом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3">
    <w:p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36101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 w:rsidR="00632AEA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35176B" w:rsidRPr="0035176B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35176B" w:rsidRPr="0035176B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35176B" w:rsidRPr="0035176B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35176B" w:rsidRPr="0035176B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4">
    <w:p w:rsidR="00E623F5" w:rsidRPr="00914EA6" w:rsidRDefault="00E623F5" w:rsidP="00E623F5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</w:t>
      </w:r>
      <w:proofErr w:type="spellStart"/>
      <w:r w:rsidRPr="00914EA6">
        <w:rPr>
          <w:color w:val="000000" w:themeColor="text1"/>
          <w:shd w:val="clear" w:color="auto" w:fill="FFFFFF"/>
        </w:rPr>
        <w:t>самоуправления</w:t>
      </w:r>
      <w:proofErr w:type="gramStart"/>
      <w:r w:rsidRPr="00914EA6">
        <w:rPr>
          <w:color w:val="000000" w:themeColor="text1"/>
          <w:shd w:val="clear" w:color="auto" w:fill="FFFFFF"/>
        </w:rPr>
        <w:t>»в</w:t>
      </w:r>
      <w:proofErr w:type="spellEnd"/>
      <w:proofErr w:type="gramEnd"/>
      <w:r w:rsidRPr="00914EA6">
        <w:rPr>
          <w:color w:val="000000" w:themeColor="text1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E623F5" w:rsidRPr="00914EA6" w:rsidRDefault="00E623F5" w:rsidP="00E623F5">
      <w:pPr>
        <w:jc w:val="both"/>
      </w:pPr>
      <w:proofErr w:type="gramStart"/>
      <w:r w:rsidRPr="00914EA6">
        <w:rPr>
          <w:color w:val="000000" w:themeColor="text1"/>
          <w:shd w:val="clear" w:color="auto" w:fill="FFFFFF"/>
        </w:rPr>
        <w:t>Вместе с тем</w:t>
      </w:r>
      <w:r w:rsidR="00361015">
        <w:rPr>
          <w:color w:val="000000" w:themeColor="text1"/>
          <w:shd w:val="clear" w:color="auto" w:fill="FFFFFF"/>
        </w:rPr>
        <w:t>,</w:t>
      </w:r>
      <w:r w:rsidRPr="00914EA6">
        <w:rPr>
          <w:color w:val="000000" w:themeColor="text1"/>
          <w:shd w:val="clear" w:color="auto" w:fill="FFFFFF"/>
        </w:rPr>
        <w:t xml:space="preserve">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914EA6">
        <w:rPr>
          <w:color w:val="000000"/>
        </w:rPr>
        <w:t xml:space="preserve"> информации на сайтах иных органов власти.</w:t>
      </w:r>
    </w:p>
  </w:footnote>
  <w:footnote w:id="5">
    <w:p w:rsidR="00E623F5" w:rsidRPr="00914EA6" w:rsidRDefault="00E623F5" w:rsidP="00E623F5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6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3111B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544011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11BF"/>
    <w:rsid w:val="00317BBC"/>
    <w:rsid w:val="00336911"/>
    <w:rsid w:val="00341953"/>
    <w:rsid w:val="0035176B"/>
    <w:rsid w:val="00361015"/>
    <w:rsid w:val="00364A30"/>
    <w:rsid w:val="00383815"/>
    <w:rsid w:val="003912A8"/>
    <w:rsid w:val="003A032F"/>
    <w:rsid w:val="003C5FFC"/>
    <w:rsid w:val="00414682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44011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2AEA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34A6D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116F6"/>
    <w:rsid w:val="0091258C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A6C24"/>
    <w:rsid w:val="00AB2F18"/>
    <w:rsid w:val="00B3179B"/>
    <w:rsid w:val="00B33F51"/>
    <w:rsid w:val="00B624F7"/>
    <w:rsid w:val="00B71D53"/>
    <w:rsid w:val="00B93BCC"/>
    <w:rsid w:val="00BA680C"/>
    <w:rsid w:val="00BB73DE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125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2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C2D9-1788-493F-AA3E-82B30239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Гаранина Лика Андреевна</cp:lastModifiedBy>
  <cp:revision>38</cp:revision>
  <cp:lastPrinted>2022-02-01T10:05:00Z</cp:lastPrinted>
  <dcterms:created xsi:type="dcterms:W3CDTF">2021-11-22T05:41:00Z</dcterms:created>
  <dcterms:modified xsi:type="dcterms:W3CDTF">2022-02-15T11:11:00Z</dcterms:modified>
</cp:coreProperties>
</file>